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2DC38928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E62FAC">
        <w:rPr>
          <w:rFonts w:ascii="TitilliumText22L Lt" w:eastAsia="Microsoft YaHei UI Light" w:hAnsi="TitilliumText22L Lt"/>
          <w:b/>
          <w:sz w:val="28"/>
          <w:szCs w:val="28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685AEF">
        <w:rPr>
          <w:rFonts w:ascii="TitilliumText22L Lt" w:eastAsia="Microsoft YaHei UI Light" w:hAnsi="TitilliumText22L Lt"/>
          <w:b/>
          <w:sz w:val="28"/>
          <w:szCs w:val="28"/>
        </w:rPr>
        <w:t>65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36A62B3F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FF2F71" w:rsidRPr="00FF2F71">
        <w:rPr>
          <w:rFonts w:ascii="TitilliumText22L Lt" w:eastAsia="Microsoft YaHei UI Light" w:hAnsi="TitilliumText22L Lt"/>
          <w:bCs/>
          <w:sz w:val="28"/>
          <w:szCs w:val="28"/>
        </w:rPr>
        <w:t>881265100218R</w:t>
      </w:r>
    </w:p>
    <w:p w14:paraId="2445432F" w14:textId="45BC200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50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18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38F409E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</w:t>
      </w:r>
      <w:r w:rsidR="008B61AA">
        <w:rPr>
          <w:rFonts w:ascii="TitilliumText22L Lt" w:eastAsia="Microsoft YaHei UI Light" w:hAnsi="TitilliumText22L Lt" w:cs="Arial"/>
          <w:sz w:val="24"/>
          <w:szCs w:val="24"/>
        </w:rPr>
        <w:t>39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7243D957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574F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00 mm T8 Leuchtstoffröhre.</w:t>
      </w:r>
    </w:p>
    <w:p w14:paraId="2FF5D345" w14:textId="54DF6B47" w:rsidR="001C4D1A" w:rsidRPr="00F85772" w:rsidRDefault="001C4D1A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 xml:space="preserve">Die LED-Röhre darf in Verbindung mit </w:t>
      </w:r>
      <w:r w:rsidR="000444E3">
        <w:rPr>
          <w:rFonts w:ascii="TitilliumText22L Lt" w:eastAsia="Microsoft YaHei UI Light" w:hAnsi="TitilliumText22L Lt" w:cs="Arial"/>
          <w:sz w:val="24"/>
          <w:szCs w:val="24"/>
        </w:rPr>
        <w:t xml:space="preserve">einer </w:t>
      </w:r>
      <w:r>
        <w:rPr>
          <w:rFonts w:ascii="TitilliumText22L Lt" w:eastAsia="Microsoft YaHei UI Light" w:hAnsi="TitilliumText22L Lt" w:cs="Arial"/>
          <w:sz w:val="24"/>
          <w:szCs w:val="24"/>
        </w:rPr>
        <w:t>geeigneten Leuchte im Lebensmittelbereich eingesetzt werden.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67A0AD3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1C4D1A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1A21CDAE" w14:textId="77777777" w:rsidR="001C4D1A" w:rsidRPr="001C4D1A" w:rsidRDefault="001C4D1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098FF369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685AEF">
        <w:rPr>
          <w:rFonts w:ascii="TitilliumText22L Lt" w:eastAsia="Microsoft YaHei UI Light" w:hAnsi="TitilliumText22L Lt" w:cs="Arial"/>
          <w:sz w:val="24"/>
          <w:szCs w:val="24"/>
        </w:rPr>
        <w:t>65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17AF911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746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69BA477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52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16B11C7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139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6BA2FE6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52138E00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28F0EBC8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1DDC569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28F3AD0A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444E3"/>
    <w:rsid w:val="00162A18"/>
    <w:rsid w:val="001C4D1A"/>
    <w:rsid w:val="0021473A"/>
    <w:rsid w:val="0023091B"/>
    <w:rsid w:val="00284D7C"/>
    <w:rsid w:val="00287D96"/>
    <w:rsid w:val="003F3A3B"/>
    <w:rsid w:val="00446BA7"/>
    <w:rsid w:val="004E7A11"/>
    <w:rsid w:val="0053252F"/>
    <w:rsid w:val="005574F2"/>
    <w:rsid w:val="00561F5A"/>
    <w:rsid w:val="005D0FF0"/>
    <w:rsid w:val="00685AEF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B61AA"/>
    <w:rsid w:val="00937F7C"/>
    <w:rsid w:val="009A63C6"/>
    <w:rsid w:val="009A6E1F"/>
    <w:rsid w:val="009E264C"/>
    <w:rsid w:val="00AC163B"/>
    <w:rsid w:val="00AD6065"/>
    <w:rsid w:val="00AD668A"/>
    <w:rsid w:val="00B744DA"/>
    <w:rsid w:val="00C32656"/>
    <w:rsid w:val="00C81175"/>
    <w:rsid w:val="00CC07C8"/>
    <w:rsid w:val="00CE0447"/>
    <w:rsid w:val="00D40689"/>
    <w:rsid w:val="00D97A75"/>
    <w:rsid w:val="00DC12F0"/>
    <w:rsid w:val="00E1049A"/>
    <w:rsid w:val="00E62FAC"/>
    <w:rsid w:val="00E807C7"/>
    <w:rsid w:val="00E87042"/>
    <w:rsid w:val="00EF096F"/>
    <w:rsid w:val="00F83C78"/>
    <w:rsid w:val="00F85772"/>
    <w:rsid w:val="00FA2CA7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2023-01-11T07:53:00Z</dcterms:created>
  <dcterms:modified xsi:type="dcterms:W3CDTF">2023-01-11T07:54:00Z</dcterms:modified>
</cp:coreProperties>
</file>